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E7" w:rsidRDefault="007531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7"/>
        <w:gridCol w:w="486"/>
        <w:gridCol w:w="810"/>
        <w:gridCol w:w="1681"/>
        <w:gridCol w:w="2520"/>
        <w:gridCol w:w="2576"/>
        <w:gridCol w:w="2430"/>
        <w:gridCol w:w="2453"/>
        <w:gridCol w:w="8"/>
      </w:tblGrid>
      <w:tr w:rsidR="007531E7">
        <w:trPr>
          <w:trHeight w:val="520"/>
        </w:trPr>
        <w:tc>
          <w:tcPr>
            <w:tcW w:w="1608" w:type="dxa"/>
          </w:tcPr>
          <w:p w:rsidR="007531E7" w:rsidRDefault="00950690">
            <w:r>
              <w:t xml:space="preserve">M. </w:t>
            </w:r>
            <w:proofErr w:type="gramStart"/>
            <w:r>
              <w:t>Angileri  ♣</w:t>
            </w:r>
            <w:proofErr w:type="gramEnd"/>
          </w:p>
          <w:p w:rsidR="007531E7" w:rsidRDefault="007531E7"/>
        </w:tc>
        <w:tc>
          <w:tcPr>
            <w:tcW w:w="1296" w:type="dxa"/>
            <w:gridSpan w:val="2"/>
          </w:tcPr>
          <w:p w:rsidR="007531E7" w:rsidRDefault="00950690">
            <w:pPr>
              <w:rPr>
                <w:rFonts w:ascii="Helvetica Neue" w:eastAsia="Helvetica Neue" w:hAnsi="Helvetica Neue" w:cs="Helvetica Neue"/>
                <w:b/>
                <w:color w:val="333333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0"/>
                <w:szCs w:val="20"/>
              </w:rPr>
              <w:t>6</w:t>
            </w:r>
            <w:r>
              <w:rPr>
                <w:rFonts w:ascii="Helvetica Neue" w:eastAsia="Helvetica Neue" w:hAnsi="Helvetica Neue" w:cs="Helvetica Neue"/>
                <w:b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 Neue" w:eastAsia="Helvetica Neue" w:hAnsi="Helvetica Neue" w:cs="Helvetica Neue"/>
                <w:b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1668" w:type="dxa"/>
            <w:gridSpan w:val="6"/>
          </w:tcPr>
          <w:p w:rsidR="007531E7" w:rsidRDefault="00950690">
            <w:pPr>
              <w:rPr>
                <w:rFonts w:ascii="Helvetica Neue" w:eastAsia="Helvetica Neue" w:hAnsi="Helvetica Neue" w:cs="Helvetica Neue"/>
                <w:b/>
                <w:color w:val="333333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0"/>
                <w:szCs w:val="20"/>
              </w:rPr>
              <w:t xml:space="preserve">  18-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color w:val="333333"/>
                <w:sz w:val="20"/>
                <w:szCs w:val="20"/>
              </w:rPr>
              <w:t>19  4</w:t>
            </w:r>
            <w:proofErr w:type="gramEnd"/>
            <w:r>
              <w:rPr>
                <w:rFonts w:ascii="Helvetica Neue" w:eastAsia="Helvetica Neue" w:hAnsi="Helvetica Neue" w:cs="Helvetica Neue"/>
                <w:b/>
                <w:color w:val="333333"/>
                <w:sz w:val="20"/>
                <w:szCs w:val="20"/>
              </w:rPr>
              <w:t>-</w:t>
            </w:r>
            <w:r w:rsidR="00B86250">
              <w:rPr>
                <w:rFonts w:ascii="Helvetica Neue" w:eastAsia="Helvetica Neue" w:hAnsi="Helvetica Neue" w:cs="Helvetica Neue"/>
                <w:b/>
                <w:color w:val="333333"/>
                <w:sz w:val="20"/>
                <w:szCs w:val="20"/>
              </w:rPr>
              <w:t>15</w:t>
            </w:r>
            <w:r>
              <w:rPr>
                <w:rFonts w:ascii="Helvetica Neue" w:eastAsia="Helvetica Neue" w:hAnsi="Helvetica Neue" w:cs="Helvetica Neue"/>
                <w:b/>
                <w:color w:val="333333"/>
                <w:sz w:val="20"/>
                <w:szCs w:val="20"/>
              </w:rPr>
              <w:t>-19 Flow of Energy in Ecosystems #</w:t>
            </w:r>
            <w:r w:rsidR="00B86250">
              <w:rPr>
                <w:rFonts w:ascii="Helvetica Neue" w:eastAsia="Helvetica Neue" w:hAnsi="Helvetica Neue" w:cs="Helvetica Neue"/>
                <w:b/>
                <w:color w:val="333333"/>
                <w:sz w:val="20"/>
                <w:szCs w:val="20"/>
              </w:rPr>
              <w:t>2</w:t>
            </w:r>
          </w:p>
        </w:tc>
      </w:tr>
      <w:tr w:rsidR="007531E7">
        <w:trPr>
          <w:trHeight w:val="2040"/>
        </w:trPr>
        <w:tc>
          <w:tcPr>
            <w:tcW w:w="1608" w:type="dxa"/>
          </w:tcPr>
          <w:p w:rsidR="007531E7" w:rsidRDefault="00950690">
            <w:r>
              <w:t>NGSS Standard</w:t>
            </w:r>
          </w:p>
        </w:tc>
        <w:tc>
          <w:tcPr>
            <w:tcW w:w="1296" w:type="dxa"/>
            <w:gridSpan w:val="2"/>
          </w:tcPr>
          <w:p w:rsidR="007531E7" w:rsidRDefault="00950690">
            <w:pPr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18"/>
                <w:szCs w:val="18"/>
              </w:rPr>
              <w:t>MS-LS2-3</w:t>
            </w:r>
          </w:p>
          <w:p w:rsidR="007531E7" w:rsidRDefault="007531E7">
            <w:pPr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</w:pPr>
          </w:p>
          <w:p w:rsidR="007531E7" w:rsidRDefault="00950690">
            <w:pPr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  <w:t>DCI</w:t>
            </w:r>
          </w:p>
          <w:p w:rsidR="007531E7" w:rsidRDefault="007531E7">
            <w:pPr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</w:pPr>
          </w:p>
          <w:p w:rsidR="007531E7" w:rsidRDefault="007531E7">
            <w:pPr>
              <w:tabs>
                <w:tab w:val="left" w:pos="945"/>
              </w:tabs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7531E7" w:rsidRDefault="00950690">
            <w:pPr>
              <w:tabs>
                <w:tab w:val="left" w:pos="945"/>
              </w:tabs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S &amp; E practices</w:t>
            </w:r>
          </w:p>
          <w:p w:rsidR="007531E7" w:rsidRDefault="007531E7">
            <w:pPr>
              <w:tabs>
                <w:tab w:val="left" w:pos="945"/>
              </w:tabs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7531E7" w:rsidRDefault="00950690">
            <w:pPr>
              <w:tabs>
                <w:tab w:val="left" w:pos="945"/>
              </w:tabs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CCC</w:t>
            </w:r>
          </w:p>
        </w:tc>
        <w:tc>
          <w:tcPr>
            <w:tcW w:w="11668" w:type="dxa"/>
            <w:gridSpan w:val="6"/>
          </w:tcPr>
          <w:p w:rsidR="007531E7" w:rsidRDefault="0095069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model to describe the cycling of matter and flow of energy among living and nonliving parts of an ecosystem</w:t>
            </w:r>
          </w:p>
          <w:p w:rsidR="007531E7" w:rsidRDefault="007531E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531E7" w:rsidRDefault="0095069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Cycle of Matter and Energy Transfer in Ecosystems:  </w:t>
            </w:r>
            <w:r>
              <w:rPr>
                <w:sz w:val="20"/>
                <w:szCs w:val="20"/>
              </w:rPr>
              <w:t>Food webs are models that demonstrate how matter is transferred between producers, co</w:t>
            </w:r>
            <w:r>
              <w:rPr>
                <w:sz w:val="20"/>
                <w:szCs w:val="20"/>
              </w:rPr>
              <w:t>nsumers, and decomposers as the three groups interact within an ecosystem.</w:t>
            </w:r>
          </w:p>
          <w:p w:rsidR="007531E7" w:rsidRDefault="007531E7">
            <w:pPr>
              <w:shd w:val="clear" w:color="auto" w:fill="FFFFFF"/>
              <w:rPr>
                <w:sz w:val="20"/>
                <w:szCs w:val="20"/>
              </w:rPr>
            </w:pPr>
          </w:p>
          <w:p w:rsidR="007531E7" w:rsidRDefault="0095069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Developing and Using Models: </w:t>
            </w:r>
            <w:r>
              <w:rPr>
                <w:sz w:val="20"/>
                <w:szCs w:val="20"/>
              </w:rPr>
              <w:t>Develop a model to describe phenomena</w:t>
            </w:r>
          </w:p>
          <w:p w:rsidR="007531E7" w:rsidRDefault="007531E7">
            <w:pPr>
              <w:shd w:val="clear" w:color="auto" w:fill="FFFFFF"/>
              <w:rPr>
                <w:sz w:val="20"/>
                <w:szCs w:val="20"/>
              </w:rPr>
            </w:pPr>
          </w:p>
          <w:p w:rsidR="007531E7" w:rsidRDefault="0095069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Energy and Matter:  </w:t>
            </w:r>
            <w:r>
              <w:rPr>
                <w:sz w:val="20"/>
                <w:szCs w:val="20"/>
              </w:rPr>
              <w:t>The transfer of energy can be tracked as energy can be tracked as energy flows through a nat</w:t>
            </w:r>
            <w:r>
              <w:rPr>
                <w:sz w:val="20"/>
                <w:szCs w:val="20"/>
              </w:rPr>
              <w:t>ural system.</w:t>
            </w:r>
          </w:p>
        </w:tc>
      </w:tr>
      <w:tr w:rsidR="007531E7" w:rsidTr="00B86250">
        <w:trPr>
          <w:gridAfter w:val="1"/>
          <w:wAfter w:w="8" w:type="dxa"/>
          <w:trHeight w:val="350"/>
        </w:trPr>
        <w:tc>
          <w:tcPr>
            <w:tcW w:w="2094" w:type="dxa"/>
            <w:gridSpan w:val="2"/>
          </w:tcPr>
          <w:p w:rsidR="007531E7" w:rsidRDefault="007531E7"/>
        </w:tc>
        <w:tc>
          <w:tcPr>
            <w:tcW w:w="2491" w:type="dxa"/>
            <w:gridSpan w:val="2"/>
          </w:tcPr>
          <w:p w:rsidR="007531E7" w:rsidRDefault="00950690">
            <w:pPr>
              <w:rPr>
                <w:rFonts w:ascii="Arial Narrow" w:eastAsia="Arial Narrow" w:hAnsi="Arial Narrow" w:cs="Arial Narrow"/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highlight w:val="yellow"/>
              </w:rPr>
              <w:t>MONDAY</w:t>
            </w:r>
          </w:p>
        </w:tc>
        <w:tc>
          <w:tcPr>
            <w:tcW w:w="2520" w:type="dxa"/>
          </w:tcPr>
          <w:p w:rsidR="007531E7" w:rsidRDefault="00950690">
            <w:pPr>
              <w:rPr>
                <w:rFonts w:ascii="Arial Narrow" w:eastAsia="Arial Narrow" w:hAnsi="Arial Narrow" w:cs="Arial Narrow"/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highlight w:val="yellow"/>
              </w:rPr>
              <w:t>TUESDAY</w:t>
            </w:r>
          </w:p>
        </w:tc>
        <w:tc>
          <w:tcPr>
            <w:tcW w:w="2576" w:type="dxa"/>
          </w:tcPr>
          <w:p w:rsidR="007531E7" w:rsidRDefault="00950690">
            <w:pPr>
              <w:rPr>
                <w:rFonts w:ascii="Arial Narrow" w:eastAsia="Arial Narrow" w:hAnsi="Arial Narrow" w:cs="Arial Narrow"/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highlight w:val="yellow"/>
              </w:rPr>
              <w:t xml:space="preserve">WEDNESDAY  </w:t>
            </w:r>
          </w:p>
        </w:tc>
        <w:tc>
          <w:tcPr>
            <w:tcW w:w="2430" w:type="dxa"/>
          </w:tcPr>
          <w:p w:rsidR="007531E7" w:rsidRDefault="00950690">
            <w:pPr>
              <w:rPr>
                <w:rFonts w:ascii="Arial Narrow" w:eastAsia="Arial Narrow" w:hAnsi="Arial Narrow" w:cs="Arial Narrow"/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highlight w:val="yellow"/>
              </w:rPr>
              <w:t xml:space="preserve">THURSDAY </w:t>
            </w:r>
          </w:p>
        </w:tc>
        <w:tc>
          <w:tcPr>
            <w:tcW w:w="2453" w:type="dxa"/>
          </w:tcPr>
          <w:p w:rsidR="007531E7" w:rsidRPr="00B86250" w:rsidRDefault="00950690">
            <w:pPr>
              <w:rPr>
                <w:rFonts w:ascii="Arial Narrow" w:eastAsia="Arial Narrow" w:hAnsi="Arial Narrow" w:cs="Arial Narrow"/>
                <w:b/>
                <w:highlight w:val="yellow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highlight w:val="yellow"/>
              </w:rPr>
              <w:t>FRIDAY</w:t>
            </w:r>
            <w:r w:rsidR="00B86250">
              <w:rPr>
                <w:rFonts w:ascii="Arial Narrow" w:eastAsia="Arial Narrow" w:hAnsi="Arial Narrow" w:cs="Arial Narrow"/>
                <w:b/>
                <w:highlight w:val="yellow"/>
              </w:rPr>
              <w:t xml:space="preserve">  No</w:t>
            </w:r>
            <w:proofErr w:type="gramEnd"/>
            <w:r w:rsidR="00B86250">
              <w:rPr>
                <w:rFonts w:ascii="Arial Narrow" w:eastAsia="Arial Narrow" w:hAnsi="Arial Narrow" w:cs="Arial Narrow"/>
                <w:b/>
                <w:highlight w:val="yellow"/>
              </w:rPr>
              <w:t xml:space="preserve"> school</w:t>
            </w:r>
          </w:p>
        </w:tc>
      </w:tr>
      <w:tr w:rsidR="007531E7" w:rsidTr="00B86250">
        <w:trPr>
          <w:gridAfter w:val="1"/>
          <w:wAfter w:w="8" w:type="dxa"/>
          <w:trHeight w:val="2510"/>
        </w:trPr>
        <w:tc>
          <w:tcPr>
            <w:tcW w:w="2094" w:type="dxa"/>
            <w:gridSpan w:val="2"/>
          </w:tcPr>
          <w:p w:rsidR="007531E7" w:rsidRDefault="00950690">
            <w:r>
              <w:t>Content Objective:</w:t>
            </w:r>
          </w:p>
        </w:tc>
        <w:tc>
          <w:tcPr>
            <w:tcW w:w="2491" w:type="dxa"/>
            <w:gridSpan w:val="2"/>
          </w:tcPr>
          <w:p w:rsidR="007531E7" w:rsidRDefault="00B86250">
            <w:pPr>
              <w:shd w:val="clear" w:color="auto" w:fill="FFFFFF"/>
              <w:spacing w:after="280"/>
            </w:pPr>
            <w:r>
              <w:t xml:space="preserve">SW demonstrate application </w:t>
            </w:r>
            <w:proofErr w:type="gramStart"/>
            <w:r>
              <w:t>of  how</w:t>
            </w:r>
            <w:proofErr w:type="gramEnd"/>
            <w:r>
              <w:rPr>
                <w:sz w:val="20"/>
                <w:szCs w:val="20"/>
              </w:rPr>
              <w:t xml:space="preserve"> matter is transferred between producers, consumers, and decomposers as the three groups interact within an ecosystem by carrying out the food Web activity with 70% accuracy</w:t>
            </w:r>
          </w:p>
        </w:tc>
        <w:tc>
          <w:tcPr>
            <w:tcW w:w="2520" w:type="dxa"/>
          </w:tcPr>
          <w:p w:rsidR="007531E7" w:rsidRDefault="00950690">
            <w:pPr>
              <w:shd w:val="clear" w:color="auto" w:fill="FFFFFF"/>
              <w:spacing w:after="280"/>
            </w:pPr>
            <w:r>
              <w:t xml:space="preserve">SW demonstrate knowledge of </w:t>
            </w:r>
            <w:r>
              <w:rPr>
                <w:sz w:val="20"/>
                <w:szCs w:val="20"/>
              </w:rPr>
              <w:t>the cycling of matter and flow of energy among living a</w:t>
            </w:r>
            <w:r>
              <w:rPr>
                <w:sz w:val="20"/>
                <w:szCs w:val="20"/>
              </w:rPr>
              <w:t>nd nonliving parts of an ecosystem by identifying components of food chains and food webs with 70% accuracy.</w:t>
            </w:r>
          </w:p>
        </w:tc>
        <w:tc>
          <w:tcPr>
            <w:tcW w:w="2576" w:type="dxa"/>
          </w:tcPr>
          <w:p w:rsidR="007531E7" w:rsidRPr="006913C5" w:rsidRDefault="006913C5" w:rsidP="006913C5">
            <w:r>
              <w:t xml:space="preserve">SW demonstrate application of </w:t>
            </w:r>
            <w:r>
              <w:t>the cycling of matter and flow of energy among living and nonliving parts of an ecosystem</w:t>
            </w:r>
            <w:r>
              <w:t xml:space="preserve"> by carrying out the nitrogen cycle game with 70% accuracy.</w:t>
            </w:r>
          </w:p>
        </w:tc>
        <w:tc>
          <w:tcPr>
            <w:tcW w:w="2430" w:type="dxa"/>
          </w:tcPr>
          <w:p w:rsidR="007531E7" w:rsidRDefault="00B27A25">
            <w:r>
              <w:t xml:space="preserve">Students will demonstrate comprehension of </w:t>
            </w:r>
            <w:r>
              <w:rPr>
                <w:sz w:val="20"/>
                <w:szCs w:val="20"/>
              </w:rPr>
              <w:t>the cycling of matter and flow of energy among living and nonliving parts of an ecosystem</w:t>
            </w:r>
            <w:r>
              <w:rPr>
                <w:sz w:val="20"/>
                <w:szCs w:val="20"/>
              </w:rPr>
              <w:t xml:space="preserve"> explaining how information from the article is connected to the objective with 70% accuracy.</w:t>
            </w:r>
          </w:p>
        </w:tc>
        <w:tc>
          <w:tcPr>
            <w:tcW w:w="2453" w:type="dxa"/>
          </w:tcPr>
          <w:p w:rsidR="007531E7" w:rsidRDefault="007531E7"/>
        </w:tc>
      </w:tr>
      <w:tr w:rsidR="007531E7">
        <w:trPr>
          <w:gridAfter w:val="1"/>
          <w:wAfter w:w="8" w:type="dxa"/>
        </w:trPr>
        <w:tc>
          <w:tcPr>
            <w:tcW w:w="2094" w:type="dxa"/>
            <w:gridSpan w:val="2"/>
          </w:tcPr>
          <w:p w:rsidR="007531E7" w:rsidRDefault="00950690">
            <w:r>
              <w:t>Language objective</w:t>
            </w:r>
          </w:p>
        </w:tc>
        <w:tc>
          <w:tcPr>
            <w:tcW w:w="2491" w:type="dxa"/>
            <w:gridSpan w:val="2"/>
          </w:tcPr>
          <w:p w:rsidR="007531E7" w:rsidRDefault="00B86250">
            <w:r>
              <w:t xml:space="preserve">SW Speak/Listen/Write to </w:t>
            </w:r>
            <w:proofErr w:type="gramStart"/>
            <w:r>
              <w:t>explain  how</w:t>
            </w:r>
            <w:proofErr w:type="gramEnd"/>
            <w:r>
              <w:rPr>
                <w:sz w:val="20"/>
                <w:szCs w:val="20"/>
              </w:rPr>
              <w:t xml:space="preserve"> matter is transferred between producers, consumers, and decomposers as the three groups interact within an ecosystem using pictures, diagrams and sentences.</w:t>
            </w:r>
          </w:p>
        </w:tc>
        <w:tc>
          <w:tcPr>
            <w:tcW w:w="2520" w:type="dxa"/>
          </w:tcPr>
          <w:p w:rsidR="007531E7" w:rsidRDefault="00950690">
            <w:r>
              <w:t xml:space="preserve">SW listen/speak/write to defend </w:t>
            </w:r>
            <w:r>
              <w:rPr>
                <w:sz w:val="20"/>
                <w:szCs w:val="20"/>
              </w:rPr>
              <w:t>the cycling of matter and flow of energy among livin</w:t>
            </w:r>
            <w:r>
              <w:rPr>
                <w:sz w:val="20"/>
                <w:szCs w:val="20"/>
              </w:rPr>
              <w:t>g and nonliving parts of an ecosystem using sentence starters.</w:t>
            </w:r>
          </w:p>
        </w:tc>
        <w:tc>
          <w:tcPr>
            <w:tcW w:w="2576" w:type="dxa"/>
          </w:tcPr>
          <w:p w:rsidR="007531E7" w:rsidRDefault="006913C5">
            <w:r>
              <w:t xml:space="preserve">SW write/speak to describe </w:t>
            </w:r>
            <w:r>
              <w:rPr>
                <w:sz w:val="20"/>
                <w:szCs w:val="20"/>
              </w:rPr>
              <w:t>the cycling of matter and flow of energy among living and nonliving parts of an ecosystem</w:t>
            </w:r>
            <w:r>
              <w:rPr>
                <w:sz w:val="20"/>
                <w:szCs w:val="20"/>
              </w:rPr>
              <w:t xml:space="preserve"> using the game record sheet with 70% accuracy.</w:t>
            </w:r>
          </w:p>
        </w:tc>
        <w:tc>
          <w:tcPr>
            <w:tcW w:w="2430" w:type="dxa"/>
          </w:tcPr>
          <w:p w:rsidR="007531E7" w:rsidRDefault="00B27A25">
            <w:r>
              <w:t xml:space="preserve">SW listen/speak to give examples of </w:t>
            </w:r>
            <w:r>
              <w:rPr>
                <w:sz w:val="20"/>
                <w:szCs w:val="20"/>
              </w:rPr>
              <w:t>the cycling of matter and flow of energy among living and nonliving parts of an ecosystem</w:t>
            </w:r>
            <w:r>
              <w:rPr>
                <w:sz w:val="20"/>
                <w:szCs w:val="20"/>
              </w:rPr>
              <w:t xml:space="preserve"> using complete sentences.</w:t>
            </w:r>
            <w:bookmarkStart w:id="0" w:name="_GoBack"/>
            <w:bookmarkEnd w:id="0"/>
          </w:p>
        </w:tc>
        <w:tc>
          <w:tcPr>
            <w:tcW w:w="2453" w:type="dxa"/>
          </w:tcPr>
          <w:p w:rsidR="007531E7" w:rsidRDefault="00950690"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  <w:tr w:rsidR="007531E7">
        <w:trPr>
          <w:gridAfter w:val="1"/>
          <w:wAfter w:w="8" w:type="dxa"/>
        </w:trPr>
        <w:tc>
          <w:tcPr>
            <w:tcW w:w="2094" w:type="dxa"/>
            <w:gridSpan w:val="2"/>
          </w:tcPr>
          <w:p w:rsidR="007531E7" w:rsidRDefault="00950690">
            <w:r>
              <w:t>Classwork:</w:t>
            </w:r>
          </w:p>
        </w:tc>
        <w:tc>
          <w:tcPr>
            <w:tcW w:w="2491" w:type="dxa"/>
            <w:gridSpan w:val="2"/>
          </w:tcPr>
          <w:p w:rsidR="00B86250" w:rsidRDefault="00B86250">
            <w:r>
              <w:t>Type 2 describe the photosynthesis process</w:t>
            </w:r>
          </w:p>
          <w:p w:rsidR="007531E7" w:rsidRDefault="00B86250">
            <w:r>
              <w:t xml:space="preserve">Complete </w:t>
            </w:r>
            <w:r>
              <w:t>Explore 1 Activity:  Food Webs</w:t>
            </w:r>
          </w:p>
          <w:p w:rsidR="00B27A25" w:rsidRDefault="00B27A25">
            <w:r>
              <w:lastRenderedPageBreak/>
              <w:t>Concept review Game Due Thursday</w:t>
            </w:r>
          </w:p>
          <w:p w:rsidR="00B27A25" w:rsidRDefault="00B27A25"/>
        </w:tc>
        <w:tc>
          <w:tcPr>
            <w:tcW w:w="2520" w:type="dxa"/>
          </w:tcPr>
          <w:p w:rsidR="007531E7" w:rsidRDefault="00B86250" w:rsidP="00B86250">
            <w:r>
              <w:lastRenderedPageBreak/>
              <w:t>Explore 2:  Cycling of Matter and Energy Part1</w:t>
            </w:r>
          </w:p>
          <w:p w:rsidR="006913C5" w:rsidRDefault="006913C5" w:rsidP="00B86250">
            <w:r>
              <w:t>Science Rock Food Chain Song</w:t>
            </w:r>
          </w:p>
        </w:tc>
        <w:tc>
          <w:tcPr>
            <w:tcW w:w="2576" w:type="dxa"/>
          </w:tcPr>
          <w:p w:rsidR="007531E7" w:rsidRDefault="00B86250">
            <w:r>
              <w:t>Explore 2:  Cycling of Matter and Energy Part</w:t>
            </w:r>
            <w:r>
              <w:t xml:space="preserve"> 2 and 3</w:t>
            </w:r>
          </w:p>
        </w:tc>
        <w:tc>
          <w:tcPr>
            <w:tcW w:w="2430" w:type="dxa"/>
          </w:tcPr>
          <w:p w:rsidR="00B27A25" w:rsidRDefault="00B27A25">
            <w:r>
              <w:t>Concept Review Game Due</w:t>
            </w:r>
          </w:p>
          <w:p w:rsidR="007531E7" w:rsidRDefault="00B27A25">
            <w:r>
              <w:t xml:space="preserve">Reading </w:t>
            </w:r>
            <w:proofErr w:type="gramStart"/>
            <w:r>
              <w:t>Science</w:t>
            </w:r>
            <w:proofErr w:type="gramEnd"/>
            <w:r>
              <w:t xml:space="preserve"> A:  Lets farm some Shrimp.</w:t>
            </w:r>
          </w:p>
          <w:p w:rsidR="00B27A25" w:rsidRDefault="00B27A25">
            <w:r>
              <w:lastRenderedPageBreak/>
              <w:t>Scope Quiz</w:t>
            </w:r>
          </w:p>
          <w:p w:rsidR="00B27A25" w:rsidRDefault="00B27A25"/>
        </w:tc>
        <w:tc>
          <w:tcPr>
            <w:tcW w:w="2453" w:type="dxa"/>
          </w:tcPr>
          <w:p w:rsidR="007531E7" w:rsidRDefault="007531E7"/>
        </w:tc>
      </w:tr>
    </w:tbl>
    <w:p w:rsidR="007531E7" w:rsidRDefault="00950690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Vocabulary:</w:t>
      </w:r>
    </w:p>
    <w:p w:rsidR="007531E7" w:rsidRDefault="00950690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Aquatic:  Relating to water; living in or near water or taking place in water.</w:t>
      </w:r>
    </w:p>
    <w:p w:rsidR="007531E7" w:rsidRDefault="00950690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Atom:  The smallest particle of an element; made of electrons, protons, and neutrons.</w:t>
      </w:r>
    </w:p>
    <w:p w:rsidR="007531E7" w:rsidRDefault="00950690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Consumers:  An organism that must consume other organisms for nutrients.</w:t>
      </w:r>
    </w:p>
    <w:p w:rsidR="007531E7" w:rsidRDefault="00950690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Decomposers:  Orga</w:t>
      </w:r>
      <w:r>
        <w:rPr>
          <w:rFonts w:ascii="Arial" w:eastAsia="Arial" w:hAnsi="Arial" w:cs="Arial"/>
          <w:sz w:val="29"/>
          <w:szCs w:val="29"/>
        </w:rPr>
        <w:t>nisms such as bacteria and fungi that break down the remains of dead plants and animals without the need for internal digestion.</w:t>
      </w:r>
    </w:p>
    <w:p w:rsidR="007531E7" w:rsidRDefault="00950690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Decomposition:  The process by which dead organic matter is broken down into simpler chemicals and dispersed.</w:t>
      </w:r>
    </w:p>
    <w:p w:rsidR="007531E7" w:rsidRDefault="00950690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Ecosystem:  A sys</w:t>
      </w:r>
      <w:r>
        <w:rPr>
          <w:rFonts w:ascii="Arial" w:eastAsia="Arial" w:hAnsi="Arial" w:cs="Arial"/>
          <w:sz w:val="29"/>
          <w:szCs w:val="29"/>
        </w:rPr>
        <w:t xml:space="preserve">tem comprising all biotic and abiotic factors in an area and all the interactions among them. </w:t>
      </w:r>
    </w:p>
    <w:p w:rsidR="007531E7" w:rsidRDefault="00950690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Energy:  The ability if a system to do work; required for changes within a system.</w:t>
      </w:r>
    </w:p>
    <w:p w:rsidR="007531E7" w:rsidRDefault="00950690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Energy Transfer:  Transfer of energy from the Sun through the different trophi</w:t>
      </w:r>
      <w:r>
        <w:rPr>
          <w:rFonts w:ascii="Arial" w:eastAsia="Arial" w:hAnsi="Arial" w:cs="Arial"/>
          <w:sz w:val="29"/>
          <w:szCs w:val="29"/>
        </w:rPr>
        <w:t>c Levels of the biosphere.</w:t>
      </w:r>
    </w:p>
    <w:p w:rsidR="007531E7" w:rsidRDefault="00950690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Food Chain:  A food chain simply states which organisms consume each other and shows how energy flows through living things in an ecosystem.</w:t>
      </w:r>
    </w:p>
    <w:p w:rsidR="007531E7" w:rsidRDefault="00950690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Food Web:  Overlapping food chains with different pathways for the flow of food energy in an ecosystem.</w:t>
      </w:r>
    </w:p>
    <w:p w:rsidR="007531E7" w:rsidRDefault="00950690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Matter Cycle:  The movement of elements or molecules through a repeated sequence of events.</w:t>
      </w:r>
    </w:p>
    <w:p w:rsidR="007531E7" w:rsidRDefault="00950690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Nutrients:  Substances that provide nourishment essential fo</w:t>
      </w:r>
      <w:r>
        <w:rPr>
          <w:rFonts w:ascii="Arial" w:eastAsia="Arial" w:hAnsi="Arial" w:cs="Arial"/>
          <w:sz w:val="29"/>
          <w:szCs w:val="29"/>
        </w:rPr>
        <w:t>r growth and the maintenance of life.</w:t>
      </w:r>
    </w:p>
    <w:p w:rsidR="007531E7" w:rsidRDefault="00950690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Organism:  A </w:t>
      </w:r>
      <w:proofErr w:type="spellStart"/>
      <w:r>
        <w:rPr>
          <w:rFonts w:ascii="Arial" w:eastAsia="Arial" w:hAnsi="Arial" w:cs="Arial"/>
          <w:sz w:val="29"/>
          <w:szCs w:val="29"/>
        </w:rPr>
        <w:t>self contained</w:t>
      </w:r>
      <w:proofErr w:type="spellEnd"/>
      <w:r>
        <w:rPr>
          <w:rFonts w:ascii="Arial" w:eastAsia="Arial" w:hAnsi="Arial" w:cs="Arial"/>
          <w:sz w:val="29"/>
          <w:szCs w:val="29"/>
        </w:rPr>
        <w:t xml:space="preserve"> living thing.</w:t>
      </w:r>
    </w:p>
    <w:p w:rsidR="007531E7" w:rsidRDefault="00950690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Photosynthesis:  The process that plants use to convert energy from the Sun into chemical energy.</w:t>
      </w:r>
    </w:p>
    <w:p w:rsidR="007531E7" w:rsidRDefault="00950690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Producers:  Organisms that transform energy from the Sun and use carbon dioxid</w:t>
      </w:r>
      <w:r>
        <w:rPr>
          <w:rFonts w:ascii="Arial" w:eastAsia="Arial" w:hAnsi="Arial" w:cs="Arial"/>
          <w:sz w:val="29"/>
          <w:szCs w:val="29"/>
        </w:rPr>
        <w:t>e and water to make food.</w:t>
      </w:r>
    </w:p>
    <w:p w:rsidR="007531E7" w:rsidRDefault="00950690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Respiration:  The chemical reaction that takes place in all living cells to release energy from glucose.</w:t>
      </w:r>
    </w:p>
    <w:p w:rsidR="007531E7" w:rsidRDefault="00950690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Terrestrial:  On or of Earth.</w:t>
      </w:r>
    </w:p>
    <w:p w:rsidR="007531E7" w:rsidRDefault="00950690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Trophic Level:  The position an organism occupies on the food web.</w:t>
      </w:r>
    </w:p>
    <w:p w:rsidR="007531E7" w:rsidRDefault="007531E7">
      <w:bookmarkStart w:id="1" w:name="_qgw8t35wvpff" w:colFirst="0" w:colLast="0"/>
      <w:bookmarkEnd w:id="1"/>
    </w:p>
    <w:sectPr w:rsidR="007531E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690" w:rsidRDefault="00950690" w:rsidP="00B86250">
      <w:pPr>
        <w:spacing w:after="0" w:line="240" w:lineRule="auto"/>
      </w:pPr>
      <w:r>
        <w:separator/>
      </w:r>
    </w:p>
  </w:endnote>
  <w:endnote w:type="continuationSeparator" w:id="0">
    <w:p w:rsidR="00950690" w:rsidRDefault="00950690" w:rsidP="00B8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690" w:rsidRDefault="00950690" w:rsidP="00B86250">
      <w:pPr>
        <w:spacing w:after="0" w:line="240" w:lineRule="auto"/>
      </w:pPr>
      <w:r>
        <w:separator/>
      </w:r>
    </w:p>
  </w:footnote>
  <w:footnote w:type="continuationSeparator" w:id="0">
    <w:p w:rsidR="00950690" w:rsidRDefault="00950690" w:rsidP="00B86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E7"/>
    <w:rsid w:val="001A67E6"/>
    <w:rsid w:val="006913C5"/>
    <w:rsid w:val="007531E7"/>
    <w:rsid w:val="00950690"/>
    <w:rsid w:val="00B27A25"/>
    <w:rsid w:val="00B86250"/>
    <w:rsid w:val="00BE045D"/>
    <w:rsid w:val="00E2689A"/>
    <w:rsid w:val="00E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5AF2"/>
  <w15:docId w15:val="{F6EF8386-5797-4D6B-81A9-6CD87B4B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8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250"/>
  </w:style>
  <w:style w:type="paragraph" w:styleId="Footer">
    <w:name w:val="footer"/>
    <w:basedOn w:val="Normal"/>
    <w:link w:val="FooterChar"/>
    <w:uiPriority w:val="99"/>
    <w:unhideWhenUsed/>
    <w:rsid w:val="00B8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Angileri</dc:creator>
  <cp:lastModifiedBy>Michelle Angileri</cp:lastModifiedBy>
  <cp:revision>2</cp:revision>
  <dcterms:created xsi:type="dcterms:W3CDTF">2019-04-14T18:47:00Z</dcterms:created>
  <dcterms:modified xsi:type="dcterms:W3CDTF">2019-04-14T18:47:00Z</dcterms:modified>
</cp:coreProperties>
</file>